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5F0C08">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pacing w:val="-11"/>
          <w:sz w:val="44"/>
          <w:szCs w:val="44"/>
          <w:lang w:val="en-US" w:eastAsia="zh-CN"/>
        </w:rPr>
        <w:t>2025年度岛际和农村水路客运涨价补贴资金</w:t>
      </w:r>
      <w:r>
        <w:rPr>
          <w:rFonts w:hint="eastAsia" w:ascii="方正小标宋简体" w:hAnsi="方正小标宋简体" w:eastAsia="方正小标宋简体" w:cs="方正小标宋简体"/>
          <w:sz w:val="44"/>
          <w:szCs w:val="44"/>
          <w:lang w:val="en-US" w:eastAsia="zh-CN"/>
        </w:rPr>
        <w:t>申请自评报告</w:t>
      </w:r>
    </w:p>
    <w:p w14:paraId="467F9268">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p>
    <w:p w14:paraId="021983BF">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方正小标宋简体" w:hAnsi="方正小标宋简体" w:eastAsia="方正小标宋简体" w:cs="方正小标宋简体"/>
          <w:sz w:val="44"/>
          <w:szCs w:val="44"/>
          <w:lang w:val="en-US" w:eastAsia="zh-CN"/>
        </w:rPr>
      </w:pPr>
      <w:r>
        <w:rPr>
          <w:rFonts w:hint="eastAsia" w:ascii="仿宋_GB2312" w:hAnsi="仿宋_GB2312" w:eastAsia="仿宋_GB2312" w:cs="仿宋_GB2312"/>
          <w:sz w:val="32"/>
          <w:szCs w:val="32"/>
          <w:lang w:val="en-US" w:eastAsia="zh-CN"/>
        </w:rPr>
        <w:t>根据《福建省岛际和农村水路客运涨价补贴资金管理办法》</w:t>
      </w:r>
      <w:bookmarkStart w:id="0" w:name="PO_fwh"/>
      <w:r>
        <w:rPr>
          <w:rFonts w:hint="eastAsia" w:ascii="仿宋_GB2312" w:hAnsi="仿宋_GB2312" w:eastAsia="仿宋_GB2312" w:cs="仿宋_GB2312"/>
          <w:sz w:val="32"/>
          <w:szCs w:val="32"/>
          <w:lang w:val="en-US" w:eastAsia="zh-CN"/>
        </w:rPr>
        <w:t>（闽财规〔2023〕9号</w:t>
      </w:r>
      <w:bookmarkEnd w:id="0"/>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我市</w:t>
      </w:r>
      <w:r>
        <w:rPr>
          <w:rFonts w:hint="eastAsia" w:ascii="仿宋_GB2312" w:hAnsi="仿宋_GB2312" w:eastAsia="仿宋_GB2312" w:cs="仿宋_GB2312"/>
          <w:sz w:val="32"/>
          <w:szCs w:val="32"/>
          <w:lang w:val="en-US" w:eastAsia="zh-CN"/>
        </w:rPr>
        <w:t>对辖区县（市、区）</w:t>
      </w:r>
      <w:r>
        <w:rPr>
          <w:rFonts w:hint="default" w:ascii="仿宋_GB2312" w:hAnsi="仿宋_GB2312" w:eastAsia="仿宋_GB2312" w:cs="仿宋_GB2312"/>
          <w:sz w:val="32"/>
          <w:szCs w:val="32"/>
          <w:lang w:val="en-US" w:eastAsia="zh-CN"/>
        </w:rPr>
        <w:t>上报</w:t>
      </w:r>
      <w:r>
        <w:rPr>
          <w:rFonts w:hint="eastAsia" w:ascii="仿宋_GB2312" w:hAnsi="仿宋_GB2312" w:eastAsia="仿宋_GB2312" w:cs="仿宋_GB2312"/>
          <w:sz w:val="32"/>
          <w:szCs w:val="32"/>
          <w:lang w:val="en-US" w:eastAsia="zh-CN"/>
        </w:rPr>
        <w:t>的</w:t>
      </w:r>
      <w:r>
        <w:rPr>
          <w:rFonts w:hint="default" w:ascii="仿宋_GB2312" w:hAnsi="仿宋_GB2312" w:eastAsia="仿宋_GB2312" w:cs="仿宋_GB2312"/>
          <w:sz w:val="32"/>
          <w:szCs w:val="32"/>
          <w:lang w:val="en-US" w:eastAsia="zh-CN"/>
        </w:rPr>
        <w:t>202</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年度补贴资金自</w:t>
      </w:r>
      <w:r>
        <w:rPr>
          <w:rFonts w:hint="eastAsia" w:ascii="仿宋_GB2312" w:hAnsi="仿宋_GB2312" w:eastAsia="仿宋_GB2312" w:cs="仿宋_GB2312"/>
          <w:sz w:val="32"/>
          <w:szCs w:val="32"/>
          <w:lang w:val="en-US" w:eastAsia="zh-CN"/>
        </w:rPr>
        <w:t>评报告进行审查和核实，按照考核要求，三明市2025年考核项目申报自评总分64.71分，自评内容如下：</w:t>
      </w:r>
    </w:p>
    <w:p w14:paraId="3FAEAD5A">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一、上年度资金使用情况</w:t>
      </w:r>
    </w:p>
    <w:p w14:paraId="1EE681FA">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2025年岛际和农村水路客运涨价补贴资金已于2026年1月23日拨付至各县财政局，目前，资金暂未拨付。</w:t>
      </w:r>
    </w:p>
    <w:p w14:paraId="2D260856">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二、2025年度考核项目申报情况</w:t>
      </w:r>
    </w:p>
    <w:p w14:paraId="35088060">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lang w:val="en-US" w:eastAsia="zh-CN"/>
        </w:rPr>
      </w:pPr>
      <w:r>
        <w:rPr>
          <w:rFonts w:hint="eastAsia" w:ascii="楷体_GB2312" w:hAnsi="楷体_GB2312" w:eastAsia="楷体_GB2312" w:cs="楷体_GB2312"/>
          <w:b/>
          <w:bCs/>
          <w:sz w:val="32"/>
          <w:szCs w:val="32"/>
          <w:lang w:val="en-US" w:eastAsia="zh-CN"/>
        </w:rPr>
        <w:t>（一）运营发展奖励自评得分为13.06分</w:t>
      </w:r>
    </w:p>
    <w:p w14:paraId="061B35FD">
      <w:pPr>
        <w:keepNext w:val="0"/>
        <w:keepLines w:val="0"/>
        <w:pageBreakBefore w:val="0"/>
        <w:widowControl w:val="0"/>
        <w:numPr>
          <w:ilvl w:val="0"/>
          <w:numId w:val="0"/>
        </w:numPr>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1.船舶客位情况。</w:t>
      </w:r>
      <w:r>
        <w:rPr>
          <w:rFonts w:hint="eastAsia" w:ascii="仿宋_GB2312" w:hAnsi="仿宋_GB2312" w:eastAsia="仿宋_GB2312" w:cs="仿宋_GB2312"/>
          <w:sz w:val="32"/>
          <w:szCs w:val="32"/>
          <w:lang w:val="en-US" w:eastAsia="zh-CN"/>
        </w:rPr>
        <w:t>三明市永安汶四渡口1艘渡船（10客位）、泰宁县下坊-醴泉岩-甘露寺渡运航线1艘新能源动力船舶（60客位）及清流农村客运出行2艘客船（96客位），2025年共投入船舶4艘（166客位）。</w:t>
      </w:r>
    </w:p>
    <w:p w14:paraId="0B5230C9">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按照考核标准，此项自评分为4.06分。</w:t>
      </w:r>
    </w:p>
    <w:p w14:paraId="71173ECA">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2.使用新能源或清洁能源情况。</w:t>
      </w:r>
      <w:r>
        <w:rPr>
          <w:rFonts w:hint="eastAsia" w:ascii="仿宋_GB2312" w:hAnsi="仿宋_GB2312" w:eastAsia="仿宋_GB2312" w:cs="仿宋_GB2312"/>
          <w:b w:val="0"/>
          <w:bCs w:val="0"/>
          <w:sz w:val="32"/>
          <w:szCs w:val="32"/>
          <w:lang w:val="en-US" w:eastAsia="zh-CN"/>
        </w:rPr>
        <w:t>无。</w:t>
      </w:r>
    </w:p>
    <w:p w14:paraId="4791FF38">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3.船龄年轻化情况。</w:t>
      </w:r>
      <w:r>
        <w:rPr>
          <w:rFonts w:hint="eastAsia" w:ascii="仿宋_GB2312" w:hAnsi="仿宋_GB2312" w:eastAsia="仿宋_GB2312" w:cs="仿宋_GB2312"/>
          <w:sz w:val="32"/>
          <w:szCs w:val="32"/>
          <w:lang w:val="en-US" w:eastAsia="zh-CN"/>
        </w:rPr>
        <w:t>2025年三明市投入渡运及农村水路客运共有船舶4艘，船龄在15年以下有3艘，15年以下船舶占比75%。</w:t>
      </w:r>
    </w:p>
    <w:p w14:paraId="289099FB">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按照考核标准，此项自评分4分。</w:t>
      </w:r>
    </w:p>
    <w:p w14:paraId="23F0111F">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4.建设投资情况。</w:t>
      </w:r>
      <w:r>
        <w:rPr>
          <w:rFonts w:hint="eastAsia" w:ascii="仿宋_GB2312" w:hAnsi="仿宋_GB2312" w:eastAsia="仿宋_GB2312" w:cs="仿宋_GB2312"/>
          <w:sz w:val="32"/>
          <w:szCs w:val="32"/>
          <w:lang w:val="en-US" w:eastAsia="zh-CN"/>
        </w:rPr>
        <w:t>无。</w:t>
      </w:r>
    </w:p>
    <w:p w14:paraId="5524DED6">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5.地方财政保障情况。</w:t>
      </w:r>
      <w:r>
        <w:rPr>
          <w:rFonts w:hint="eastAsia" w:ascii="仿宋_GB2312" w:hAnsi="仿宋_GB2312" w:eastAsia="仿宋_GB2312" w:cs="仿宋_GB2312"/>
          <w:sz w:val="32"/>
          <w:szCs w:val="32"/>
          <w:lang w:val="en-US" w:eastAsia="zh-CN"/>
        </w:rPr>
        <w:t>无。</w:t>
      </w:r>
    </w:p>
    <w:p w14:paraId="0B117D0D">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6.安全运营情况。</w:t>
      </w:r>
      <w:r>
        <w:rPr>
          <w:rFonts w:hint="eastAsia" w:ascii="仿宋_GB2312" w:hAnsi="仿宋_GB2312" w:eastAsia="仿宋_GB2312" w:cs="仿宋_GB2312"/>
          <w:b w:val="0"/>
          <w:bCs w:val="0"/>
          <w:sz w:val="32"/>
          <w:szCs w:val="32"/>
          <w:lang w:val="en-US" w:eastAsia="zh-CN"/>
        </w:rPr>
        <w:t>2025年全市水路未发生安全责任事故情况。</w:t>
      </w:r>
    </w:p>
    <w:p w14:paraId="02F30239">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lang w:val="en-US" w:eastAsia="zh-CN"/>
        </w:rPr>
      </w:pPr>
      <w:r>
        <w:rPr>
          <w:rFonts w:hint="eastAsia" w:ascii="仿宋_GB2312" w:hAnsi="仿宋_GB2312" w:eastAsia="仿宋_GB2312" w:cs="仿宋_GB2312"/>
          <w:sz w:val="32"/>
          <w:szCs w:val="32"/>
          <w:lang w:val="en-US" w:eastAsia="zh-CN"/>
        </w:rPr>
        <w:t>按照考核标准，此项自评分5分。</w:t>
      </w:r>
    </w:p>
    <w:p w14:paraId="17DE2759">
      <w:pPr>
        <w:keepNext w:val="0"/>
        <w:keepLines w:val="0"/>
        <w:pageBreakBefore w:val="0"/>
        <w:widowControl w:val="0"/>
        <w:kinsoku/>
        <w:overflowPunct/>
        <w:topLinePunct w:val="0"/>
        <w:autoSpaceDE/>
        <w:autoSpaceDN/>
        <w:bidi w:val="0"/>
        <w:adjustRightInd/>
        <w:snapToGrid/>
        <w:spacing w:line="240" w:lineRule="auto"/>
        <w:ind w:left="638" w:leftChars="304" w:firstLine="0" w:firstLine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7.加分项。</w:t>
      </w:r>
      <w:r>
        <w:rPr>
          <w:rFonts w:hint="eastAsia" w:ascii="仿宋_GB2312" w:hAnsi="仿宋_GB2312" w:eastAsia="仿宋_GB2312" w:cs="仿宋_GB2312"/>
          <w:sz w:val="32"/>
          <w:szCs w:val="32"/>
          <w:lang w:val="en-US" w:eastAsia="zh-CN"/>
        </w:rPr>
        <w:t>无。</w:t>
      </w:r>
    </w:p>
    <w:p w14:paraId="6906EE59">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（二）基础设施建设奖励自评得分为32.15分</w:t>
      </w:r>
    </w:p>
    <w:p w14:paraId="4869BD05">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1.基础设施情况。</w:t>
      </w:r>
      <w:r>
        <w:rPr>
          <w:rFonts w:hint="eastAsia" w:ascii="仿宋_GB2312" w:hAnsi="仿宋_GB2312" w:eastAsia="仿宋_GB2312" w:cs="仿宋_GB2312"/>
          <w:sz w:val="32"/>
          <w:szCs w:val="32"/>
          <w:lang w:val="en-US" w:eastAsia="zh-CN"/>
        </w:rPr>
        <w:t>2025年我市满足岛际和农村水路客运申报条件的渡口现有2个，可得分1分；</w:t>
      </w:r>
    </w:p>
    <w:p w14:paraId="36A5C1CA">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永安汶四渡口和泰宁下坊、澧泉岩渡口码头共配备有候船室2个，且具有视频监控、应急广播装置及必要的卫生间、饮水、垃圾回收等服务设施的。可得分4分。</w:t>
      </w:r>
    </w:p>
    <w:p w14:paraId="29267F5B">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按考核标准，此项共可得自评分5分。</w:t>
      </w:r>
    </w:p>
    <w:p w14:paraId="3985CF34">
      <w:pPr>
        <w:keepNext w:val="0"/>
        <w:keepLines w:val="0"/>
        <w:pageBreakBefore w:val="0"/>
        <w:widowControl w:val="0"/>
        <w:numPr>
          <w:ilvl w:val="0"/>
          <w:numId w:val="0"/>
        </w:numPr>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2.岸基动态监控情况。</w:t>
      </w:r>
      <w:r>
        <w:rPr>
          <w:rFonts w:hint="eastAsia" w:ascii="仿宋_GB2312" w:hAnsi="仿宋_GB2312" w:eastAsia="仿宋_GB2312" w:cs="仿宋_GB2312"/>
          <w:sz w:val="32"/>
          <w:szCs w:val="32"/>
          <w:lang w:val="en-US" w:eastAsia="zh-CN"/>
        </w:rPr>
        <w:t>全市岛际和农村水路客运船舶全部实现岸基动态监控，视频监控覆盖整个渡口码头及航道的动态监控，实现岸基动态监控的比例为100%；可得10分。</w:t>
      </w:r>
    </w:p>
    <w:p w14:paraId="20D6DDFA">
      <w:pPr>
        <w:keepNext w:val="0"/>
        <w:keepLines w:val="0"/>
        <w:pageBreakBefore w:val="0"/>
        <w:widowControl w:val="0"/>
        <w:numPr>
          <w:ilvl w:val="0"/>
          <w:numId w:val="0"/>
        </w:numPr>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全市2个渡口已实现视频监控接入省级平台，渡口视频监控接入省级平台比例为100%，得5分。</w:t>
      </w:r>
    </w:p>
    <w:p w14:paraId="414A858A">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按考核标准，此项共可得自评分15分。</w:t>
      </w:r>
    </w:p>
    <w:p w14:paraId="079E0FAF">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3.投资建设情况。</w:t>
      </w:r>
      <w:r>
        <w:rPr>
          <w:rFonts w:hint="eastAsia" w:ascii="仿宋_GB2312" w:hAnsi="仿宋_GB2312" w:eastAsia="仿宋_GB2312" w:cs="仿宋_GB2312"/>
          <w:sz w:val="32"/>
          <w:szCs w:val="32"/>
          <w:lang w:val="en-US" w:eastAsia="zh-CN"/>
        </w:rPr>
        <w:t>2025年，泰宁</w:t>
      </w:r>
      <w:r>
        <w:rPr>
          <w:rFonts w:hint="eastAsia" w:ascii="仿宋_GB2312" w:hAnsi="仿宋_GB2312" w:eastAsia="仿宋_GB2312" w:cs="仿宋_GB2312"/>
          <w:b w:val="0"/>
          <w:bCs w:val="0"/>
          <w:color w:val="auto"/>
          <w:kern w:val="2"/>
          <w:sz w:val="32"/>
          <w:szCs w:val="32"/>
          <w:lang w:val="en-US" w:eastAsia="zh-CN" w:bidi="ar-SA"/>
        </w:rPr>
        <w:t>开展金湖下坊渡口码头建造项目，总投资262.9468万元，考核年度内实际投资243.0651万元，实际投资占考核指标1000万元的比例为21%，得12.15分。</w:t>
      </w:r>
    </w:p>
    <w:p w14:paraId="16B743AB">
      <w:pPr>
        <w:pStyle w:val="2"/>
        <w:keepNext w:val="0"/>
        <w:keepLines w:val="0"/>
        <w:pageBreakBefore w:val="0"/>
        <w:widowControl w:val="0"/>
        <w:kinsoku/>
        <w:overflowPunct/>
        <w:topLinePunct w:val="0"/>
        <w:autoSpaceDE/>
        <w:autoSpaceDN/>
        <w:bidi w:val="0"/>
        <w:adjustRightInd/>
        <w:snapToGrid/>
        <w:spacing w:line="240" w:lineRule="auto"/>
        <w:textAlignment w:val="auto"/>
        <w:rPr>
          <w:rFonts w:hint="default"/>
          <w:lang w:val="en-US" w:eastAsia="zh-CN"/>
        </w:rPr>
      </w:pPr>
      <w:r>
        <w:rPr>
          <w:rFonts w:hint="eastAsia" w:ascii="仿宋_GB2312" w:hAnsi="仿宋_GB2312" w:eastAsia="仿宋_GB2312" w:cs="仿宋_GB2312"/>
          <w:b/>
          <w:bCs/>
          <w:color w:val="auto"/>
          <w:sz w:val="32"/>
          <w:szCs w:val="32"/>
          <w:lang w:val="en-US" w:eastAsia="zh-CN"/>
        </w:rPr>
        <w:t>4.地方财政保障情况。</w:t>
      </w:r>
      <w:r>
        <w:rPr>
          <w:rFonts w:hint="eastAsia" w:ascii="仿宋_GB2312" w:hAnsi="仿宋_GB2312" w:eastAsia="仿宋_GB2312" w:cs="仿宋_GB2312"/>
          <w:b w:val="0"/>
          <w:bCs w:val="0"/>
          <w:color w:val="auto"/>
          <w:kern w:val="2"/>
          <w:sz w:val="32"/>
          <w:szCs w:val="32"/>
          <w:lang w:val="en-US" w:eastAsia="zh-CN" w:bidi="ar-SA"/>
        </w:rPr>
        <w:t>无。</w:t>
      </w:r>
    </w:p>
    <w:p w14:paraId="28275F91">
      <w:pPr>
        <w:pStyle w:val="2"/>
        <w:keepNext w:val="0"/>
        <w:keepLines w:val="0"/>
        <w:pageBreakBefore w:val="0"/>
        <w:widowControl w:val="0"/>
        <w:kinsoku/>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bCs/>
          <w:color w:val="auto"/>
          <w:sz w:val="32"/>
          <w:szCs w:val="32"/>
          <w:lang w:val="en-US" w:eastAsia="zh-CN"/>
        </w:rPr>
        <w:t>5.加分项。</w:t>
      </w:r>
      <w:r>
        <w:rPr>
          <w:rFonts w:hint="eastAsia" w:ascii="仿宋_GB2312" w:hAnsi="仿宋_GB2312" w:eastAsia="仿宋_GB2312" w:cs="仿宋_GB2312"/>
          <w:b w:val="0"/>
          <w:bCs w:val="0"/>
          <w:color w:val="auto"/>
          <w:kern w:val="2"/>
          <w:sz w:val="32"/>
          <w:szCs w:val="32"/>
          <w:lang w:val="en-US" w:eastAsia="zh-CN" w:bidi="ar-SA"/>
        </w:rPr>
        <w:t>无。</w:t>
      </w:r>
    </w:p>
    <w:p w14:paraId="5518DF66">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（三）服务质量奖励</w:t>
      </w:r>
      <w:r>
        <w:rPr>
          <w:rFonts w:hint="eastAsia" w:ascii="楷体_GB2312" w:hAnsi="楷体_GB2312" w:eastAsia="楷体_GB2312" w:cs="楷体_GB2312"/>
          <w:b/>
          <w:bCs/>
          <w:sz w:val="32"/>
          <w:szCs w:val="32"/>
          <w:lang w:val="en-US" w:eastAsia="zh-CN"/>
        </w:rPr>
        <w:t>自评得分为19.5分</w:t>
      </w:r>
    </w:p>
    <w:p w14:paraId="654383EE">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1.公司化管理情况</w:t>
      </w:r>
    </w:p>
    <w:p w14:paraId="426F9E26">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（1）清流顺风航运有限公司经营农村水路客运航线，船舶“闽三明客8001”“闽三明客8002”共2艘实现公司化管理，得1分；</w:t>
      </w:r>
    </w:p>
    <w:p w14:paraId="5435CBEF">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照《泰宁县人民政府关于设置下坊醴泉岩甘露寺等3个公益性渡口的批复》（泰政文〔2021〕63号）《泰宁县人民政府关于同意变更下坊-醴泉岩-甘露寺义渡航线渡口及渡船运营主体的批复》精神，义渡航线运营主体为福建环大金湖游船有限公司，1艘船舶实现公司化管理，可得0.5分，渡口一并由福建环大金湖游船有限公司运营，可得1分。</w:t>
      </w:r>
    </w:p>
    <w:p w14:paraId="063A6C65">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按考核标准，此项自评分2.5分。</w:t>
      </w:r>
    </w:p>
    <w:p w14:paraId="3FBC8996">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2.实名制管理情况。</w:t>
      </w:r>
      <w:r>
        <w:rPr>
          <w:rFonts w:hint="eastAsia" w:ascii="仿宋_GB2312" w:hAnsi="仿宋_GB2312" w:eastAsia="仿宋_GB2312" w:cs="仿宋_GB2312"/>
          <w:sz w:val="32"/>
          <w:szCs w:val="32"/>
          <w:lang w:val="en-US" w:eastAsia="zh-CN"/>
        </w:rPr>
        <w:t>无。</w:t>
      </w:r>
    </w:p>
    <w:p w14:paraId="4CC08CBF">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3.签单发航制度落实情况。</w:t>
      </w:r>
      <w:r>
        <w:rPr>
          <w:rFonts w:hint="eastAsia" w:ascii="仿宋_GB2312" w:hAnsi="仿宋_GB2312" w:eastAsia="仿宋_GB2312" w:cs="仿宋_GB2312"/>
          <w:sz w:val="32"/>
          <w:szCs w:val="32"/>
          <w:lang w:val="en-US" w:eastAsia="zh-CN"/>
        </w:rPr>
        <w:t>泰宁县下坊-醴泉岩-甘露寺义渡航线和永安汶四渡口渡运航线已建立并实施签单发航制度。</w:t>
      </w:r>
    </w:p>
    <w:p w14:paraId="3D31BA03">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按考核标准，此项自评分5分。</w:t>
      </w:r>
    </w:p>
    <w:p w14:paraId="2538C712">
      <w:pPr>
        <w:keepNext w:val="0"/>
        <w:keepLines w:val="0"/>
        <w:pageBreakBefore w:val="0"/>
        <w:widowControl w:val="0"/>
        <w:kinsoku/>
        <w:overflowPunct/>
        <w:topLinePunct w:val="0"/>
        <w:autoSpaceDE/>
        <w:autoSpaceDN/>
        <w:bidi w:val="0"/>
        <w:adjustRightInd/>
        <w:snapToGrid/>
        <w:spacing w:line="240" w:lineRule="auto"/>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4.内河客运（地方海事）监管应急体系建设情况。</w:t>
      </w:r>
    </w:p>
    <w:p w14:paraId="633927C3">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（1）新增应急救援队伍1支。2025年，建宁县与火箭救援服务中心签订合作共建协议书。此项自评分5分。</w:t>
      </w:r>
    </w:p>
    <w:p w14:paraId="7D6083A2">
      <w:pPr>
        <w:keepNext w:val="0"/>
        <w:keepLines w:val="0"/>
        <w:pageBreakBefore w:val="0"/>
        <w:widowControl w:val="0"/>
        <w:kinsoku/>
        <w:overflowPunct/>
        <w:topLinePunct w:val="0"/>
        <w:autoSpaceDE/>
        <w:autoSpaceDN/>
        <w:bidi w:val="0"/>
        <w:adjustRightInd/>
        <w:snapToGrid/>
        <w:spacing w:line="240" w:lineRule="auto"/>
        <w:ind w:firstLine="640" w:firstLineChars="2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（2）开展客(渡)船船员适任培训教育。2025年，在永安开展</w:t>
      </w:r>
      <w:bookmarkStart w:id="1" w:name="_GoBack"/>
      <w:bookmarkEnd w:id="1"/>
      <w:r>
        <w:rPr>
          <w:rFonts w:hint="eastAsia" w:ascii="仿宋_GB2312" w:eastAsia="仿宋_GB2312"/>
          <w:sz w:val="32"/>
          <w:szCs w:val="32"/>
          <w:lang w:val="en-US" w:eastAsia="zh-CN"/>
        </w:rPr>
        <w:t>1期客(渡)船船员适任培训教育培训。</w:t>
      </w:r>
      <w:r>
        <w:rPr>
          <w:rFonts w:hint="eastAsia" w:ascii="仿宋_GB2312" w:hAnsi="仿宋_GB2312" w:eastAsia="仿宋_GB2312" w:cs="仿宋_GB2312"/>
          <w:sz w:val="32"/>
          <w:szCs w:val="32"/>
          <w:lang w:val="en-US" w:eastAsia="zh-CN"/>
        </w:rPr>
        <w:t>此项自评分4分。</w:t>
      </w:r>
    </w:p>
    <w:p w14:paraId="77372E0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（3）完成省级重点工作任务。具体任务完成情况详见《三明市交通运输局关于2025年度省级重点工作完成情况的报告》。此项自评分3分。</w:t>
      </w:r>
    </w:p>
    <w:p w14:paraId="41AE3D63">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640" w:firstLineChars="200"/>
        <w:textAlignment w:val="auto"/>
        <w:rPr>
          <w:rFonts w:hint="default"/>
          <w:lang w:val="en-US" w:eastAsia="zh-CN"/>
        </w:rPr>
      </w:pPr>
      <w:r>
        <w:rPr>
          <w:rFonts w:hint="eastAsia" w:ascii="仿宋_GB2312" w:hAnsi="仿宋_GB2312" w:eastAsia="仿宋_GB2312" w:cs="仿宋_GB2312"/>
          <w:sz w:val="32"/>
          <w:szCs w:val="32"/>
          <w:lang w:val="en-US" w:eastAsia="zh-CN"/>
        </w:rPr>
        <w:t>按照考核标准，此项自评分合计12分。</w:t>
      </w:r>
    </w:p>
    <w:p w14:paraId="4428D6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5.</w:t>
      </w:r>
      <w:r>
        <w:rPr>
          <w:rFonts w:hint="eastAsia" w:ascii="仿宋_GB2312" w:hAnsi="仿宋_GB2312" w:eastAsia="仿宋_GB2312" w:cs="仿宋_GB2312"/>
          <w:b/>
          <w:bCs/>
          <w:sz w:val="32"/>
          <w:szCs w:val="32"/>
          <w:lang w:val="en-US" w:eastAsia="zh-CN"/>
        </w:rPr>
        <w:t>建设投资情况。</w:t>
      </w:r>
      <w:r>
        <w:rPr>
          <w:rFonts w:hint="eastAsia" w:ascii="仿宋_GB2312" w:hAnsi="仿宋_GB2312" w:eastAsia="仿宋_GB2312" w:cs="仿宋_GB2312"/>
          <w:sz w:val="32"/>
          <w:szCs w:val="32"/>
          <w:lang w:val="en-US" w:eastAsia="zh-CN"/>
        </w:rPr>
        <w:t>无。</w:t>
      </w:r>
    </w:p>
    <w:p w14:paraId="7B27A251">
      <w:pPr>
        <w:keepNext w:val="0"/>
        <w:keepLines w:val="0"/>
        <w:pageBreakBefore w:val="0"/>
        <w:widowControl w:val="0"/>
        <w:kinsoku/>
        <w:overflowPunct/>
        <w:topLinePunct w:val="0"/>
        <w:autoSpaceDE/>
        <w:autoSpaceDN/>
        <w:bidi w:val="0"/>
        <w:adjustRightInd/>
        <w:snapToGrid/>
        <w:spacing w:line="240" w:lineRule="auto"/>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6.地方财政保障情况。</w:t>
      </w:r>
      <w:r>
        <w:rPr>
          <w:rFonts w:hint="eastAsia" w:ascii="仿宋_GB2312" w:hAnsi="仿宋_GB2312" w:eastAsia="仿宋_GB2312" w:cs="仿宋_GB2312"/>
          <w:kern w:val="2"/>
          <w:sz w:val="32"/>
          <w:szCs w:val="32"/>
          <w:lang w:val="en-US" w:eastAsia="zh-CN" w:bidi="ar-SA"/>
        </w:rPr>
        <w:t>无。</w:t>
      </w:r>
    </w:p>
    <w:p w14:paraId="05306673">
      <w:pPr>
        <w:keepNext w:val="0"/>
        <w:keepLines w:val="0"/>
        <w:pageBreakBefore w:val="0"/>
        <w:widowControl w:val="0"/>
        <w:kinsoku/>
        <w:overflowPunct/>
        <w:topLinePunct w:val="0"/>
        <w:autoSpaceDE/>
        <w:autoSpaceDN/>
        <w:bidi w:val="0"/>
        <w:adjustRightInd/>
        <w:snapToGrid/>
        <w:spacing w:line="240" w:lineRule="auto"/>
        <w:ind w:firstLine="643"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sz w:val="32"/>
          <w:szCs w:val="32"/>
          <w:lang w:val="en-US" w:eastAsia="zh-CN"/>
        </w:rPr>
        <w:t>7.加分项。</w:t>
      </w:r>
      <w:r>
        <w:rPr>
          <w:rFonts w:hint="eastAsia" w:ascii="仿宋_GB2312" w:hAnsi="仿宋_GB2312" w:eastAsia="仿宋_GB2312" w:cs="仿宋_GB2312"/>
          <w:sz w:val="32"/>
          <w:szCs w:val="32"/>
          <w:lang w:val="en-US" w:eastAsia="zh-CN"/>
        </w:rPr>
        <w:t>无</w:t>
      </w:r>
      <w:r>
        <w:rPr>
          <w:rFonts w:hint="eastAsia" w:ascii="仿宋_GB2312" w:hAnsi="仿宋_GB2312" w:eastAsia="仿宋_GB2312" w:cs="仿宋_GB2312"/>
          <w:kern w:val="2"/>
          <w:sz w:val="32"/>
          <w:szCs w:val="32"/>
          <w:lang w:val="en-US" w:eastAsia="zh-CN" w:bidi="ar-SA"/>
        </w:rPr>
        <w:t>。</w:t>
      </w:r>
    </w:p>
    <w:p w14:paraId="1C9A6FFC">
      <w:pPr>
        <w:keepNext w:val="0"/>
        <w:keepLines w:val="0"/>
        <w:pageBreakBefore w:val="0"/>
        <w:widowControl w:val="0"/>
        <w:kinsoku/>
        <w:overflowPunct/>
        <w:topLinePunct w:val="0"/>
        <w:autoSpaceDE/>
        <w:autoSpaceDN/>
        <w:bidi w:val="0"/>
        <w:adjustRightInd/>
        <w:snapToGrid/>
        <w:spacing w:line="240" w:lineRule="auto"/>
        <w:textAlignment w:val="auto"/>
        <w:rPr>
          <w:rFonts w:hint="default"/>
          <w:lang w:val="en-US" w:eastAsia="zh-CN"/>
        </w:rPr>
      </w:pPr>
    </w:p>
    <w:p w14:paraId="3E65E15C">
      <w:pPr>
        <w:pStyle w:val="2"/>
        <w:keepNext w:val="0"/>
        <w:keepLines w:val="0"/>
        <w:pageBreakBefore w:val="0"/>
        <w:widowControl w:val="0"/>
        <w:kinsoku/>
        <w:overflowPunct/>
        <w:topLinePunct w:val="0"/>
        <w:autoSpaceDE/>
        <w:autoSpaceDN/>
        <w:bidi w:val="0"/>
        <w:adjustRightInd/>
        <w:snapToGrid/>
        <w:spacing w:line="240" w:lineRule="auto"/>
        <w:textAlignment w:val="auto"/>
        <w:rPr>
          <w:rFonts w:hint="default"/>
          <w:lang w:val="en-US" w:eastAsia="zh-CN"/>
        </w:rPr>
      </w:pPr>
    </w:p>
    <w:p w14:paraId="432E4080">
      <w:pPr>
        <w:keepNext w:val="0"/>
        <w:keepLines w:val="0"/>
        <w:pageBreakBefore w:val="0"/>
        <w:widowControl w:val="0"/>
        <w:kinsoku/>
        <w:wordWrap w:val="0"/>
        <w:overflowPunct/>
        <w:topLinePunct w:val="0"/>
        <w:autoSpaceDE/>
        <w:autoSpaceDN/>
        <w:bidi w:val="0"/>
        <w:adjustRightInd/>
        <w:snapToGrid/>
        <w:spacing w:line="240" w:lineRule="auto"/>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三明市交通运输局  </w:t>
      </w:r>
    </w:p>
    <w:p w14:paraId="08DE4B22">
      <w:pPr>
        <w:keepNext w:val="0"/>
        <w:keepLines w:val="0"/>
        <w:pageBreakBefore w:val="0"/>
        <w:widowControl w:val="0"/>
        <w:kinsoku/>
        <w:wordWrap w:val="0"/>
        <w:overflowPunct/>
        <w:topLinePunct w:val="0"/>
        <w:autoSpaceDE/>
        <w:autoSpaceDN/>
        <w:bidi w:val="0"/>
        <w:adjustRightInd/>
        <w:snapToGrid/>
        <w:spacing w:line="240" w:lineRule="auto"/>
        <w:jc w:val="right"/>
        <w:textAlignment w:val="auto"/>
        <w:rPr>
          <w:rFonts w:hint="default"/>
          <w:lang w:val="en-US" w:eastAsia="zh-CN"/>
        </w:rPr>
      </w:pPr>
      <w:r>
        <w:rPr>
          <w:rFonts w:hint="eastAsia" w:ascii="仿宋_GB2312" w:hAnsi="仿宋_GB2312" w:eastAsia="仿宋_GB2312" w:cs="仿宋_GB2312"/>
          <w:sz w:val="32"/>
          <w:szCs w:val="32"/>
          <w:lang w:val="en-US" w:eastAsia="zh-CN"/>
        </w:rPr>
        <w:t xml:space="preserve">2026年8月24日  </w:t>
      </w:r>
    </w:p>
    <w:p w14:paraId="3A78A9BC">
      <w:pPr>
        <w:pStyle w:val="2"/>
        <w:keepNext w:val="0"/>
        <w:keepLines w:val="0"/>
        <w:pageBreakBefore w:val="0"/>
        <w:widowControl w:val="0"/>
        <w:kinsoku/>
        <w:overflowPunct/>
        <w:topLinePunct w:val="0"/>
        <w:autoSpaceDE/>
        <w:autoSpaceDN/>
        <w:bidi w:val="0"/>
        <w:adjustRightInd/>
        <w:snapToGrid/>
        <w:spacing w:line="240" w:lineRule="auto"/>
        <w:textAlignment w:val="auto"/>
        <w:rPr>
          <w:rFonts w:hint="eastAsia"/>
          <w:lang w:val="en-US" w:eastAsia="zh-CN"/>
        </w:rPr>
      </w:pPr>
    </w:p>
    <w:p w14:paraId="4C54E9A5">
      <w:pPr>
        <w:keepNext w:val="0"/>
        <w:keepLines w:val="0"/>
        <w:pageBreakBefore w:val="0"/>
        <w:widowControl w:val="0"/>
        <w:kinsoku/>
        <w:overflowPunct/>
        <w:topLinePunct w:val="0"/>
        <w:autoSpaceDE/>
        <w:autoSpaceDN/>
        <w:bidi w:val="0"/>
        <w:adjustRightInd/>
        <w:snapToGrid/>
        <w:spacing w:line="240" w:lineRule="auto"/>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jMzBjZDFiYmY2NGMzOGEyMWI4OTZiNDNlMWRhY2UifQ=="/>
  </w:docVars>
  <w:rsids>
    <w:rsidRoot w:val="00000000"/>
    <w:rsid w:val="00EB7E60"/>
    <w:rsid w:val="01B841E6"/>
    <w:rsid w:val="02A84493"/>
    <w:rsid w:val="02BE582C"/>
    <w:rsid w:val="063B53E6"/>
    <w:rsid w:val="08470072"/>
    <w:rsid w:val="09DD0184"/>
    <w:rsid w:val="0B9E269F"/>
    <w:rsid w:val="0EFD451F"/>
    <w:rsid w:val="11DB0C82"/>
    <w:rsid w:val="136A2E67"/>
    <w:rsid w:val="13E56991"/>
    <w:rsid w:val="161F43DC"/>
    <w:rsid w:val="164203F9"/>
    <w:rsid w:val="187A7FF0"/>
    <w:rsid w:val="217F0F0D"/>
    <w:rsid w:val="23CC2790"/>
    <w:rsid w:val="271909D4"/>
    <w:rsid w:val="28506677"/>
    <w:rsid w:val="29385A89"/>
    <w:rsid w:val="2ABC0213"/>
    <w:rsid w:val="2B7E174D"/>
    <w:rsid w:val="2C8903AA"/>
    <w:rsid w:val="2CF02631"/>
    <w:rsid w:val="336851BD"/>
    <w:rsid w:val="33F22CD8"/>
    <w:rsid w:val="344130E4"/>
    <w:rsid w:val="3AE82FA8"/>
    <w:rsid w:val="3B8E1539"/>
    <w:rsid w:val="3BBD1E25"/>
    <w:rsid w:val="3C85293C"/>
    <w:rsid w:val="3C990195"/>
    <w:rsid w:val="3DF21FD7"/>
    <w:rsid w:val="3E2E0DB1"/>
    <w:rsid w:val="407E7DCE"/>
    <w:rsid w:val="408908EE"/>
    <w:rsid w:val="40A47108"/>
    <w:rsid w:val="41384420"/>
    <w:rsid w:val="421D53C4"/>
    <w:rsid w:val="4513485D"/>
    <w:rsid w:val="46651D2E"/>
    <w:rsid w:val="478A0262"/>
    <w:rsid w:val="47C9333F"/>
    <w:rsid w:val="4D9B21EA"/>
    <w:rsid w:val="4ED3413F"/>
    <w:rsid w:val="50D92DFE"/>
    <w:rsid w:val="52350508"/>
    <w:rsid w:val="52DE0FEC"/>
    <w:rsid w:val="540A7799"/>
    <w:rsid w:val="54240834"/>
    <w:rsid w:val="5579126C"/>
    <w:rsid w:val="55DD0C9B"/>
    <w:rsid w:val="56D35FF9"/>
    <w:rsid w:val="57462870"/>
    <w:rsid w:val="5C45759A"/>
    <w:rsid w:val="5E9367AF"/>
    <w:rsid w:val="5FBE208E"/>
    <w:rsid w:val="60212324"/>
    <w:rsid w:val="63D30A5E"/>
    <w:rsid w:val="645046CC"/>
    <w:rsid w:val="66E83943"/>
    <w:rsid w:val="66F10A4A"/>
    <w:rsid w:val="695706F9"/>
    <w:rsid w:val="6BAD0BF9"/>
    <w:rsid w:val="6C9C4A5F"/>
    <w:rsid w:val="6D3036F1"/>
    <w:rsid w:val="6DAA4EE4"/>
    <w:rsid w:val="6E020A65"/>
    <w:rsid w:val="71CD20B4"/>
    <w:rsid w:val="723F4D5F"/>
    <w:rsid w:val="72605EE6"/>
    <w:rsid w:val="72D03C09"/>
    <w:rsid w:val="73E76463"/>
    <w:rsid w:val="766D79C1"/>
    <w:rsid w:val="775F555C"/>
    <w:rsid w:val="77B37FC4"/>
    <w:rsid w:val="77C66FB2"/>
    <w:rsid w:val="79490A20"/>
    <w:rsid w:val="79A100AE"/>
    <w:rsid w:val="79A17AC3"/>
    <w:rsid w:val="7BBF2A6D"/>
    <w:rsid w:val="7BC848AF"/>
    <w:rsid w:val="7C8B3B71"/>
    <w:rsid w:val="7CCC3693"/>
    <w:rsid w:val="7DCE343B"/>
    <w:rsid w:val="7F7E710A"/>
    <w:rsid w:val="7F8D4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Indent"/>
    <w:basedOn w:val="1"/>
    <w:next w:val="1"/>
    <w:unhideWhenUsed/>
    <w:qFormat/>
    <w:uiPriority w:val="99"/>
    <w:pPr>
      <w:spacing w:after="120"/>
      <w:ind w:left="420" w:leftChars="200"/>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1395</Words>
  <Characters>1537</Characters>
  <Lines>0</Lines>
  <Paragraphs>0</Paragraphs>
  <TotalTime>3</TotalTime>
  <ScaleCrop>false</ScaleCrop>
  <LinksUpToDate>false</LinksUpToDate>
  <CharactersWithSpaces>1541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2024-03-13T08:56:00Z</dcterms:created>
  <dc:creator>Administrator</dc:creator>
  <cp:lastModifiedBy>J</cp:lastModifiedBy>
  <cp:lastPrinted>2026-08-24T07:51:38Z</cp:lastPrinted>
  <dcterms:modified xsi:type="dcterms:W3CDTF">2026-08-24T07:52:46Z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7AB7CCC943664004BC98B767BFF97B0F_12</vt:lpwstr>
  </property>
  <property fmtid="{D5CDD505-2E9C-101B-9397-08002B2CF9AE}" pid="4" name="KSOTemplateDocerSaveRecord">
    <vt:lpwstr>eyJoZGlkIjoiMDVjMzBjZDFiYmY2NGMzOGEyMWI4OTZiNDNlMWRhY2UiLCJ1c2VySWQiOiIyNjc3MDM0MjkifQ==</vt:lpwstr>
  </property>
</Properties>
</file>