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5F0C0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pacing w:val="-11"/>
          <w:sz w:val="44"/>
          <w:szCs w:val="44"/>
          <w:lang w:val="en-US" w:eastAsia="zh-CN"/>
        </w:rPr>
        <w:t>2024年度岛际和农村水路客运涨价补贴资金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申请自评报告</w:t>
      </w:r>
    </w:p>
    <w:p w14:paraId="467F926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021983B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根据《福建省岛际和农村水路客运涨价补贴资金管理办法》</w:t>
      </w:r>
      <w:bookmarkStart w:id="0" w:name="PO_fwh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（闽财规〔2023〕9号</w:t>
      </w:r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），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我市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对辖区县（市、区）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上报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的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年度补贴资金自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评报告进行审查和核实，按照考核要求，三明市2024年</w:t>
      </w:r>
      <w:bookmarkStart w:id="1" w:name="_GoBack"/>
      <w:bookmarkEnd w:id="1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考核项目申报自评总分138.134分，自评内容如下：</w:t>
      </w:r>
    </w:p>
    <w:p w14:paraId="3FAEAD5A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一、上年度资金使用情况</w:t>
      </w:r>
    </w:p>
    <w:p w14:paraId="1EE681FA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2023年岛际和农村水路客运涨价补贴资金已于2025年2月7日拨付至各县财政局，目前，各县交通运输主管部门正草拟资金分配方案。</w:t>
      </w:r>
    </w:p>
    <w:p w14:paraId="2D260856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二、2024年度考核项目申报情况</w:t>
      </w:r>
    </w:p>
    <w:p w14:paraId="35088060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（一）运营发展奖励自评得分为13.06分</w:t>
      </w:r>
    </w:p>
    <w:p w14:paraId="061B35F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1.船舶客位情况。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三明市永安汶四渡口1艘渡船（10客位）、泰宁县下坊-醴泉岩-甘露寺渡运航线1艘新能源动力船舶（60客位）及清流农村客运出行2艘客船（96客位），2024年共投入船舶4艘（166客位）。</w:t>
      </w:r>
    </w:p>
    <w:p w14:paraId="0B5230C9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按照考核标准，此项自评分为4.06分。</w:t>
      </w:r>
    </w:p>
    <w:p w14:paraId="71173ECA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2.使用新能源或清洁能源情况。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无。</w:t>
      </w:r>
    </w:p>
    <w:p w14:paraId="4791FF38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3.船龄年轻化情况。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2024年三明市投入渡运及农村水路客运共有船舶4艘，船龄在15年以下有3艘，15年以下船舶占比75%。</w:t>
      </w:r>
    </w:p>
    <w:p w14:paraId="289099FB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按照考核标准，此项自评分4分。</w:t>
      </w:r>
    </w:p>
    <w:p w14:paraId="23F0111F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4.建设投资情况。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无。</w:t>
      </w:r>
    </w:p>
    <w:p w14:paraId="5524DED6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5.地方财政保障情况。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无。</w:t>
      </w:r>
    </w:p>
    <w:p w14:paraId="0B117D0D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6.安全运营情况。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2024年全市水路未发生安全责任事故情况。</w:t>
      </w:r>
    </w:p>
    <w:p w14:paraId="02F30239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按照考核标准，此项自评分5分。</w:t>
      </w:r>
    </w:p>
    <w:p w14:paraId="17DE2759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left="638" w:leftChars="304" w:firstLine="0" w:firstLine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7.加分项。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无。</w:t>
      </w:r>
    </w:p>
    <w:p w14:paraId="6906EE59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both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（二）基础设施建设奖励自评得分为22分</w:t>
      </w:r>
    </w:p>
    <w:p w14:paraId="4869BD05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1.基础设施情况。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2024年我市满足岛际和农村水路客运申报条件的渡口现有2个，可得分1分；</w:t>
      </w:r>
    </w:p>
    <w:p w14:paraId="36A5C1CA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永安汶四渡口和泰宁下坊、澧泉岩渡口码头共配备有候船室3个，且具有视频监控、应急广播装置及必要的卫生间、饮水、垃圾回收等服务设施的。可得分6分。</w:t>
      </w:r>
    </w:p>
    <w:p w14:paraId="29267F5B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按考核标准，此项共可得自评分7分。</w:t>
      </w:r>
    </w:p>
    <w:p w14:paraId="3985CF3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2.岸基动态监控情况。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全市岛际和农村水路客运船舶全部实现岸基动态监控，视频监控覆盖整个渡口码头及航道的动态监控，实现岸基动态监控的比例为100%；可得10分。</w:t>
      </w:r>
    </w:p>
    <w:p w14:paraId="20D6DDF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全市2个渡口已实现视频监控接入省级平台，渡口视频监控接入省级平台比例为100%，得5分。</w:t>
      </w:r>
    </w:p>
    <w:p w14:paraId="414A858A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按考核标准，此项共可得自评分15分。</w:t>
      </w:r>
    </w:p>
    <w:p w14:paraId="079E0FAF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3.投资建设情况。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无。</w:t>
      </w:r>
    </w:p>
    <w:p w14:paraId="16B743AB">
      <w:pPr>
        <w:pStyle w:val="2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4.地方财政保障情况。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无。</w:t>
      </w:r>
    </w:p>
    <w:p w14:paraId="28275F91">
      <w:pPr>
        <w:pStyle w:val="2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5.加分项。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无。</w:t>
      </w:r>
    </w:p>
    <w:p w14:paraId="5518DF66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both"/>
        <w:textAlignment w:val="auto"/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lang w:val="en-US" w:eastAsia="zh-CN"/>
        </w:rPr>
        <w:t>（三）服务质量奖励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自评得分为103.074分</w:t>
      </w:r>
    </w:p>
    <w:p w14:paraId="654383EE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1.公司化管理情况</w:t>
      </w:r>
    </w:p>
    <w:p w14:paraId="426F9E26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（1）清流顺风航运有限公司经营农村水路客运航线，船舶“闽三明客8001”“闽三明客8002”共2艘实现公司化管理，得1分；</w:t>
      </w:r>
    </w:p>
    <w:p w14:paraId="5435CBEF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按照《泰宁县人民政府关于设置下坊醴泉岩甘露寺等3个公益性渡口的批复》（泰政文〔2021〕63号）《泰宁县人民政府关于同意变更下坊-醴泉岩-甘露寺义渡航线渡口及渡船运营主体的批复》精神，义渡航线运营主体为福建环大金湖游船有限公司，1艘船舶实现公司化管理，可得0.5分，渡口一并由福建环大金湖游船有限公司运营，可得1分。</w:t>
      </w:r>
    </w:p>
    <w:p w14:paraId="063A6C65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按考核标准，此项自评分2.5分。</w:t>
      </w:r>
    </w:p>
    <w:p w14:paraId="377DF727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2.实名制管理情况。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泰宁县下坊-醴泉岩-甘露寺义渡航线已购置实名制通行闸机，建立并落实实名制管理。</w:t>
      </w:r>
    </w:p>
    <w:p w14:paraId="3FBC8996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按考核标准，此项自评分5分。</w:t>
      </w:r>
    </w:p>
    <w:p w14:paraId="4CC08CBF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3.签单发航制度落实情况。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泰宁县下坊-醴泉岩-甘露寺义渡航线，永安汶四渡口渡运航线已建立并实施签单发航制度。</w:t>
      </w:r>
    </w:p>
    <w:p w14:paraId="3D31BA03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按考核标准，此项自评分5分。</w:t>
      </w:r>
    </w:p>
    <w:p w14:paraId="2538C712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4.内河客运（地方海事）监管应急体系建设情况</w:t>
      </w:r>
    </w:p>
    <w:p w14:paraId="633927C3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（1）新增应急救援队伍1支。泰宁县与火箭救援服务中心签订合作共建协议书，共同开展辖区水上应急救援培训、演练和救援等工作。此项自评分5分。</w:t>
      </w:r>
    </w:p>
    <w:p w14:paraId="7D6083A2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（2）开展客(渡)船船员适任培训教育。根据《福建省地方海事发展中心关于开展内河船员培训考试的函》（闽地海海事函〔2024〕14号），在我市清流县开展内河船员培训考试工作。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此项自评分4分。</w:t>
      </w:r>
    </w:p>
    <w:p w14:paraId="77372E0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（3）完成省级重点工作任务。根据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2024年省市重点工作任务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，我市完成了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辖区水运企业整合、</w:t>
      </w:r>
      <w:r>
        <w:rPr>
          <w:rFonts w:hint="eastAsia" w:ascii="仿宋_GB2312" w:eastAsia="仿宋_GB2312" w:cstheme="minorBidi"/>
          <w:kern w:val="2"/>
          <w:sz w:val="32"/>
          <w:szCs w:val="32"/>
          <w:lang w:val="en-US" w:eastAsia="zh-CN" w:bidi="ar-SA"/>
        </w:rPr>
        <w:t>开展</w:t>
      </w:r>
      <w:r>
        <w:rPr>
          <w:rFonts w:hint="eastAsia" w:ascii="Times New Roman" w:hAnsi="Times New Roman" w:eastAsia="仿宋_GB2312" w:cs="Times New Roman"/>
          <w:b w:val="0"/>
          <w:bCs/>
          <w:snapToGrid/>
          <w:spacing w:val="0"/>
          <w:kern w:val="0"/>
          <w:sz w:val="32"/>
          <w:szCs w:val="32"/>
          <w:lang w:val="en-US" w:eastAsia="zh-CN"/>
        </w:rPr>
        <w:t>预防船舶机电故障专项、三无船舶及2024年“净航行动、</w:t>
      </w:r>
      <w:r>
        <w:rPr>
          <w:rFonts w:hint="eastAsia" w:ascii="仿宋_GB2312" w:eastAsia="仿宋_GB2312" w:hAnsiTheme="minorHAnsi" w:cstheme="minorBidi"/>
          <w:kern w:val="2"/>
          <w:sz w:val="32"/>
          <w:szCs w:val="32"/>
          <w:lang w:val="en-US" w:eastAsia="zh-CN" w:bidi="ar-SA"/>
        </w:rPr>
        <w:t>开展重大事故隐患专项排查整治行动</w:t>
      </w:r>
      <w:r>
        <w:rPr>
          <w:rFonts w:hint="eastAsia" w:ascii="仿宋_GB2312" w:eastAsia="仿宋_GB2312" w:cstheme="minorBidi"/>
          <w:kern w:val="2"/>
          <w:sz w:val="32"/>
          <w:szCs w:val="32"/>
          <w:lang w:val="en-US" w:eastAsia="zh-CN" w:bidi="ar-SA"/>
        </w:rPr>
        <w:t>、“三油并轨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等重点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工作</w:t>
      </w:r>
      <w:r>
        <w:rPr>
          <w:rFonts w:hint="eastAsia" w:ascii="仿宋_GB2312" w:eastAsia="仿宋_GB2312" w:cstheme="minorBidi"/>
          <w:kern w:val="2"/>
          <w:sz w:val="32"/>
          <w:szCs w:val="32"/>
          <w:lang w:val="en-US" w:eastAsia="zh-CN" w:bidi="ar-SA"/>
        </w:rPr>
        <w:t>、推动开办内河船员基本安全和内河船员客船特殊培训等工作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基本完成省级重点工作任务，详细内容见《三明市交通运输局关于2024年度省级重点工作完成情况的书面报告》。此项自评分3分。</w:t>
      </w:r>
    </w:p>
    <w:p w14:paraId="41AE3D6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firstLine="640" w:firstLineChars="200"/>
        <w:textAlignment w:val="auto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按照考核标准，此项自评分合计12分。</w:t>
      </w:r>
    </w:p>
    <w:p w14:paraId="4428D63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5.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建设投资情况。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1）泰宁县建设大金湖水域交通安全监控系统，总投资282.732万元，考核年度内实际完成投资57.10088万元。该项目实际总投资占考核指标200万元的比例为28.55%，按考核标准此项自评分11.42分（2）泰宁县大金湖航道智慧海事项目，总投资128.8160万元，考核年度内实际完成投资125.77万元。该项目实际总投资占考核指标200万元的比例为62.885%，按考核标准此项自评分25.154分。</w:t>
      </w:r>
    </w:p>
    <w:p w14:paraId="1336169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firstLine="640" w:firstLineChars="200"/>
        <w:textAlignment w:val="auto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按照考核标准，此项自评分合计36.574分。</w:t>
      </w:r>
    </w:p>
    <w:p w14:paraId="7B27A251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6.地方财政保障情况。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无。</w:t>
      </w:r>
    </w:p>
    <w:p w14:paraId="5F79D9C1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7.加分项</w:t>
      </w:r>
    </w:p>
    <w:p w14:paraId="4C00B910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（1）泰宁县下坊-甘露寺-澧泉岩渡运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航线，新增公司化管理船舶“大金湖3号”，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按照考核标准此加分项自评分2分。</w:t>
      </w:r>
    </w:p>
    <w:p w14:paraId="5DA616E6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（2）新增泰宁县辖区内所有渡船、渡口均实现公司化管理。按照考核标准此加分项自评分20分。</w:t>
      </w:r>
    </w:p>
    <w:p w14:paraId="2FC656E0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（3）新增泰宁县下坊-甘露寺-澧泉岩渡运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航线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实施实名制管理的，每新增1条航线加20分，按照考核标准此加分项自评分20分。</w:t>
      </w:r>
    </w:p>
    <w:p w14:paraId="05306673">
      <w:pPr>
        <w:pStyle w:val="2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按照考核标准，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此项自评分合计42分。</w:t>
      </w:r>
    </w:p>
    <w:p w14:paraId="1C9A6FFC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/>
          <w:lang w:val="en-US" w:eastAsia="zh-CN"/>
        </w:rPr>
      </w:pPr>
    </w:p>
    <w:p w14:paraId="3E65E15C">
      <w:pPr>
        <w:pStyle w:val="2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/>
          <w:lang w:val="en-US" w:eastAsia="zh-CN"/>
        </w:rPr>
      </w:pPr>
    </w:p>
    <w:p w14:paraId="432E4080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240" w:lineRule="auto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三明市交通运输局  </w:t>
      </w:r>
    </w:p>
    <w:p w14:paraId="08DE4B22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240" w:lineRule="auto"/>
        <w:jc w:val="right"/>
        <w:textAlignment w:val="auto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2025年2月25日  </w:t>
      </w:r>
    </w:p>
    <w:p w14:paraId="3A78A9BC">
      <w:pPr>
        <w:pStyle w:val="2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/>
          <w:lang w:val="en-US" w:eastAsia="zh-CN"/>
        </w:rPr>
      </w:pPr>
    </w:p>
    <w:p w14:paraId="4C54E9A5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VjMzBjZDFiYmY2NGMzOGEyMWI4OTZiNDNlMWRhY2UifQ=="/>
  </w:docVars>
  <w:rsids>
    <w:rsidRoot w:val="00000000"/>
    <w:rsid w:val="00EB7E60"/>
    <w:rsid w:val="01B841E6"/>
    <w:rsid w:val="02A84493"/>
    <w:rsid w:val="02BE582C"/>
    <w:rsid w:val="063B53E6"/>
    <w:rsid w:val="08470072"/>
    <w:rsid w:val="09DD0184"/>
    <w:rsid w:val="0B9E269F"/>
    <w:rsid w:val="0EFD451F"/>
    <w:rsid w:val="11DB0C82"/>
    <w:rsid w:val="136A2E67"/>
    <w:rsid w:val="13E56991"/>
    <w:rsid w:val="161F43DC"/>
    <w:rsid w:val="164203F9"/>
    <w:rsid w:val="187A7FF0"/>
    <w:rsid w:val="271909D4"/>
    <w:rsid w:val="28506677"/>
    <w:rsid w:val="29385A89"/>
    <w:rsid w:val="2ABC0213"/>
    <w:rsid w:val="2C8903AA"/>
    <w:rsid w:val="2CF02631"/>
    <w:rsid w:val="336851BD"/>
    <w:rsid w:val="33F22CD8"/>
    <w:rsid w:val="344130E4"/>
    <w:rsid w:val="3AE82FA8"/>
    <w:rsid w:val="3B8E1539"/>
    <w:rsid w:val="3C85293C"/>
    <w:rsid w:val="3C990195"/>
    <w:rsid w:val="3DF21FD7"/>
    <w:rsid w:val="407E7DCE"/>
    <w:rsid w:val="408908EE"/>
    <w:rsid w:val="41384420"/>
    <w:rsid w:val="46651D2E"/>
    <w:rsid w:val="478A0262"/>
    <w:rsid w:val="47C9333F"/>
    <w:rsid w:val="4D9B21EA"/>
    <w:rsid w:val="4ED3413F"/>
    <w:rsid w:val="52350508"/>
    <w:rsid w:val="52DE0FEC"/>
    <w:rsid w:val="540A7799"/>
    <w:rsid w:val="54240834"/>
    <w:rsid w:val="5579126C"/>
    <w:rsid w:val="55DD0C9B"/>
    <w:rsid w:val="56D35FF9"/>
    <w:rsid w:val="57462870"/>
    <w:rsid w:val="5C45759A"/>
    <w:rsid w:val="5E9367AF"/>
    <w:rsid w:val="5FBE208E"/>
    <w:rsid w:val="60212324"/>
    <w:rsid w:val="63D30A5E"/>
    <w:rsid w:val="645046CC"/>
    <w:rsid w:val="66F10A4A"/>
    <w:rsid w:val="6BAD0BF9"/>
    <w:rsid w:val="6C9C4A5F"/>
    <w:rsid w:val="6DAA4EE4"/>
    <w:rsid w:val="71CD20B4"/>
    <w:rsid w:val="723F4D5F"/>
    <w:rsid w:val="72605EE6"/>
    <w:rsid w:val="72D03C09"/>
    <w:rsid w:val="766D79C1"/>
    <w:rsid w:val="77B37FC4"/>
    <w:rsid w:val="77C66FB2"/>
    <w:rsid w:val="79490A20"/>
    <w:rsid w:val="79A100AE"/>
    <w:rsid w:val="79A17AC3"/>
    <w:rsid w:val="7BBF2A6D"/>
    <w:rsid w:val="7CCC3693"/>
    <w:rsid w:val="7DCE343B"/>
    <w:rsid w:val="7F7E710A"/>
    <w:rsid w:val="7F8D4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next w:val="1"/>
    <w:unhideWhenUsed/>
    <w:qFormat/>
    <w:uiPriority w:val="99"/>
    <w:pPr>
      <w:spacing w:after="120"/>
      <w:ind w:left="420" w:leftChars="200"/>
    </w:p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1923</Words>
  <Characters>2102</Characters>
  <Lines>0</Lines>
  <Paragraphs>0</Paragraphs>
  <TotalTime>4</TotalTime>
  <ScaleCrop>false</ScaleCrop>
  <LinksUpToDate>false</LinksUpToDate>
  <CharactersWithSpaces>2106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2024-03-13T08:56:00Z</dcterms:created>
  <dc:creator>Administrator</dc:creator>
  <cp:lastModifiedBy>J</cp:lastModifiedBy>
  <dcterms:modified xsi:type="dcterms:W3CDTF">2025-02-25T00:42:38Z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7AB7CCC943664004BC98B767BFF97B0F_12</vt:lpwstr>
  </property>
  <property fmtid="{D5CDD505-2E9C-101B-9397-08002B2CF9AE}" pid="4" name="KSOTemplateDocerSaveRecord">
    <vt:lpwstr>eyJoZGlkIjoiMDVjMzBjZDFiYmY2NGMzOGEyMWI4OTZiNDNlMWRhY2UiLCJ1c2VySWQiOiIyNjc3MDM0MjkifQ==</vt:lpwstr>
  </property>
</Properties>
</file>