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80" w:lineRule="exact"/>
        <w:ind w:left="0" w:leftChars="0" w:firstLine="0" w:firstLineChars="0"/>
        <w:textAlignment w:val="auto"/>
        <w:rPr>
          <w:rFonts w:hint="default" w:ascii="仿宋_GB2312" w:hAnsi="仿宋" w:cs="仿宋_GB2312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" w:cs="仿宋_GB2312"/>
          <w:color w:val="auto"/>
          <w:szCs w:val="32"/>
          <w:highlight w:val="none"/>
          <w:lang w:val="en-US" w:eastAsia="zh-CN"/>
        </w:rPr>
        <w:t>附件2：</w:t>
      </w:r>
    </w:p>
    <w:tbl>
      <w:tblPr>
        <w:tblStyle w:val="6"/>
        <w:tblW w:w="145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396"/>
        <w:gridCol w:w="2669"/>
        <w:gridCol w:w="1516"/>
        <w:gridCol w:w="3334"/>
        <w:gridCol w:w="976"/>
        <w:gridCol w:w="585"/>
        <w:gridCol w:w="585"/>
        <w:gridCol w:w="585"/>
        <w:gridCol w:w="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三明市公共汽电车运营服务质量评价评分表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评价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2" w:firstLineChars="30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评价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评价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3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自评分</w:t>
            </w:r>
          </w:p>
        </w:tc>
        <w:tc>
          <w:tcPr>
            <w:tcW w:w="1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管理部门评分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扣分原因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实际得分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一、企业基础管理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证照管理（3分）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企业资质证件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完备有效，按照规定接受年审或办理相关变更手续。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查阅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超过有效期或未经审验的，未按规定办理变更手续的，本项不得分。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制度管理（3分）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建立健全公交企业车辆、运营、安全、管理、培训、服务投诉等相关企业制度。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查阅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每缺一项制度扣1分，扣完为止。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台账管理（3分）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各类台账及相关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报表等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填写规范、报送及时、归档整齐。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现场抽查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每发现一类台账填写不规范或缺失的扣1分；未按时、规范报送材料，每次扣1分，扣完为止。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人员管理（3分）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企业员工数量符合《成本规制管理办法》中的核定值。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查阅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超过核定人数的，本项不得分。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档案管理（3分）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建立驾驶员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档案、营运车辆档案、服务质量投诉处理档案。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查阅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每少一类档案或档案不齐全扣1分，扣完为止。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二、安全生产管理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安全责任管理（5分）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规范制定并下发年度安全责任书，有效落实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奖惩。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查阅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责任书内容不全面、未层层签订、未落实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奖惩的，本项不得分。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责任事故管理（1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公共汽电车不发生较大以上责任事故（同等及以上事故），公共汽电车有责事故频率不高于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次/百万公里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行车责任事故率=运营车发生的亡人责任事故次数/总行驶里程×100%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查阅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公共汽电车发生较大以上责任事故（同等及以上事故），本项不得分；公共汽电车有责事故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率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高于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次/百万公里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每高0.5次扣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分，扣完为止。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隐患排查管理（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1、须以文件下发隐患排查与治理工作方案；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2、每月开展自查自纠，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整改处理要求有台账记录；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3、被相关部门通报，对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被通报情况须进行整改反馈。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查阅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每缺失一项扣1分，扣完为止。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安全宣传教育（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定期开展安全宣传与教育，并建档存放图文资料及签到记录。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查阅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每一项材料不齐全扣1分，扣完为止。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三、生产运营管理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建设管理（5分）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按时保质完成公交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生产经营投资及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场站、候车亭、充电桩等基础设施建设、改造工作。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现场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查阅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未按时保质完成任务的，本项不得分。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计划完成情况（5分）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计划里程完成率达到90%以上。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查阅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每降低1%，扣1分，扣完为止。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高峰时段出车率（5分）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高峰时段出车率≥80%。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现场抽查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每降低1%，扣1分，扣完为止。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高峰时段发车间隔完成率（5分）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高峰时段发车间隔不得超出计划发车间隔200%，高峰时段发车间隔完成率≥95%。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现场抽查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每降低1%，扣1分，扣完为止。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首末班准点率（5分）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线路首末班发车时间较计划发车时间之差≤3分钟，首末班准点率≥99%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查阅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每降低0.2%，扣1分，扣完为止。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准点发车率（5分）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无特殊情况，线路实际发车时间较计划发车时间之差≤3分钟，准点发车率≥96%。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现场抽查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每降低1%，扣1分，扣完为止。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四、服务质量管理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企业形象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提供公交服务监督投诉电话号码。采用公交热线、网站等方式提供信息服务。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现场核查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未提供公交服务监督投诉电话号码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或未采用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公交热线、网站等方式提供信息服务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的，本项不得分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车容车貌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分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标志完整，车容整洁，环境舒适。车辆整洁合格率、车厢服务合格率、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车内服务设施完好率≥95% 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现场核查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“三率”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低于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95%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的，本项不得分。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乘客投诉处理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满意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率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分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在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12345和12328平台，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乘客投诉处理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满意率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≥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%                                                 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查阅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乘客投诉处理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满意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率＝对乘客投诉处理和回复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满意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的件数/乘客投诉件数×100%；低于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%的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本项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不得分。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百万人次有责投诉率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年内在1234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5和12328等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平台的有责投诉案件数量占客运量比率低于3次/百万人次。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查阅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高于3次/百万人次的，每高0.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次/百万公里扣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1分，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扣完为止。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媒体监督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主动接受新闻媒体监督。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查阅记录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因服务质量低劣而被市级以上媒体批评并经查证属实的，本项不得分。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五、履行社会责任（10分）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指令性任务执行情况（5分）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按照政府、主管部门及集团要求，落实优惠政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策及政策性运输保障工作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查阅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出现一次未按照要求落实，本项不得分。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加快推进信息化建设。（5分）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加快推进信息化建设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，提升企业管理水平，助力打造智慧交通体系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现场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查阅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项目未落实或平台运维管理不善，本项不得分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黑体" w:hAnsi="仿宋" w:eastAsia="黑体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Yjg5NGZmZDM5ZTU5ZTA3Y2Q4NjM1YWUxYjlkNzUifQ=="/>
  </w:docVars>
  <w:rsids>
    <w:rsidRoot w:val="00000000"/>
    <w:rsid w:val="00A37C1C"/>
    <w:rsid w:val="03E2006E"/>
    <w:rsid w:val="043C6CE2"/>
    <w:rsid w:val="04C13DA6"/>
    <w:rsid w:val="04D74983"/>
    <w:rsid w:val="05883ED0"/>
    <w:rsid w:val="05A47838"/>
    <w:rsid w:val="05C07D69"/>
    <w:rsid w:val="072034F0"/>
    <w:rsid w:val="07F57C77"/>
    <w:rsid w:val="091F0940"/>
    <w:rsid w:val="094D232F"/>
    <w:rsid w:val="0A750537"/>
    <w:rsid w:val="0B4153D8"/>
    <w:rsid w:val="0BAA50B0"/>
    <w:rsid w:val="0BC86EDC"/>
    <w:rsid w:val="0BFA161E"/>
    <w:rsid w:val="0CA41C40"/>
    <w:rsid w:val="0DAF6D17"/>
    <w:rsid w:val="0E0D1416"/>
    <w:rsid w:val="0EA6507B"/>
    <w:rsid w:val="0F022F45"/>
    <w:rsid w:val="107C7F9C"/>
    <w:rsid w:val="10BA14E0"/>
    <w:rsid w:val="13ED3B06"/>
    <w:rsid w:val="14320202"/>
    <w:rsid w:val="158043D2"/>
    <w:rsid w:val="17205879"/>
    <w:rsid w:val="178169D1"/>
    <w:rsid w:val="17A408A8"/>
    <w:rsid w:val="18266FBF"/>
    <w:rsid w:val="1AA34C66"/>
    <w:rsid w:val="1B9E08B5"/>
    <w:rsid w:val="1D9328A6"/>
    <w:rsid w:val="1EDB183D"/>
    <w:rsid w:val="20FE602D"/>
    <w:rsid w:val="223E3B2E"/>
    <w:rsid w:val="22750913"/>
    <w:rsid w:val="22850432"/>
    <w:rsid w:val="22D36C7A"/>
    <w:rsid w:val="22D836F2"/>
    <w:rsid w:val="23515DF1"/>
    <w:rsid w:val="23D70CD9"/>
    <w:rsid w:val="2449370A"/>
    <w:rsid w:val="24D740D4"/>
    <w:rsid w:val="25405224"/>
    <w:rsid w:val="26093C1D"/>
    <w:rsid w:val="263317DE"/>
    <w:rsid w:val="272D2F12"/>
    <w:rsid w:val="287700A8"/>
    <w:rsid w:val="2AFA0E11"/>
    <w:rsid w:val="2B7478B6"/>
    <w:rsid w:val="2B8D5E01"/>
    <w:rsid w:val="2BC151B0"/>
    <w:rsid w:val="2DFA155F"/>
    <w:rsid w:val="2E2626DF"/>
    <w:rsid w:val="2E3A4766"/>
    <w:rsid w:val="2E6C3ADF"/>
    <w:rsid w:val="2E935510"/>
    <w:rsid w:val="2F86578B"/>
    <w:rsid w:val="33CF0157"/>
    <w:rsid w:val="357339A5"/>
    <w:rsid w:val="362E7F49"/>
    <w:rsid w:val="37115BB5"/>
    <w:rsid w:val="373A0D5D"/>
    <w:rsid w:val="37DA41AF"/>
    <w:rsid w:val="382E5BCA"/>
    <w:rsid w:val="39135E66"/>
    <w:rsid w:val="393C0FF6"/>
    <w:rsid w:val="39F2758E"/>
    <w:rsid w:val="3AAF722D"/>
    <w:rsid w:val="3C1B48EA"/>
    <w:rsid w:val="3C2A6DFE"/>
    <w:rsid w:val="3C505132"/>
    <w:rsid w:val="3C787D9B"/>
    <w:rsid w:val="3D346110"/>
    <w:rsid w:val="3E554590"/>
    <w:rsid w:val="3ED77157"/>
    <w:rsid w:val="40066699"/>
    <w:rsid w:val="44CC3E87"/>
    <w:rsid w:val="455A36D4"/>
    <w:rsid w:val="46105D71"/>
    <w:rsid w:val="46130905"/>
    <w:rsid w:val="47086643"/>
    <w:rsid w:val="47336A8E"/>
    <w:rsid w:val="4B012E89"/>
    <w:rsid w:val="4B893C0F"/>
    <w:rsid w:val="4B9E091B"/>
    <w:rsid w:val="4C737CCD"/>
    <w:rsid w:val="4D2E18C5"/>
    <w:rsid w:val="50642F47"/>
    <w:rsid w:val="50D22A44"/>
    <w:rsid w:val="516E3547"/>
    <w:rsid w:val="53316F22"/>
    <w:rsid w:val="538106DC"/>
    <w:rsid w:val="53EF025F"/>
    <w:rsid w:val="55064A3A"/>
    <w:rsid w:val="56820A9A"/>
    <w:rsid w:val="568773F9"/>
    <w:rsid w:val="56AA71AF"/>
    <w:rsid w:val="597162CA"/>
    <w:rsid w:val="5A557971"/>
    <w:rsid w:val="5A7B2EFD"/>
    <w:rsid w:val="5B242A8E"/>
    <w:rsid w:val="5C563555"/>
    <w:rsid w:val="5C8A75AA"/>
    <w:rsid w:val="5E2E598A"/>
    <w:rsid w:val="5F056BF5"/>
    <w:rsid w:val="5F8F1E5D"/>
    <w:rsid w:val="609C37B6"/>
    <w:rsid w:val="615C068B"/>
    <w:rsid w:val="61996AF5"/>
    <w:rsid w:val="61BC0A3F"/>
    <w:rsid w:val="625E13B5"/>
    <w:rsid w:val="63C6393B"/>
    <w:rsid w:val="6406668C"/>
    <w:rsid w:val="68DB550E"/>
    <w:rsid w:val="69A73642"/>
    <w:rsid w:val="69DB32EB"/>
    <w:rsid w:val="6A2647FC"/>
    <w:rsid w:val="6A884EB0"/>
    <w:rsid w:val="6B2B0B08"/>
    <w:rsid w:val="6B8665E7"/>
    <w:rsid w:val="6B9C6749"/>
    <w:rsid w:val="6D8A259C"/>
    <w:rsid w:val="6F683873"/>
    <w:rsid w:val="7159484E"/>
    <w:rsid w:val="719F0723"/>
    <w:rsid w:val="73C72CA4"/>
    <w:rsid w:val="75143B04"/>
    <w:rsid w:val="761155D4"/>
    <w:rsid w:val="76141C15"/>
    <w:rsid w:val="7A9F24BA"/>
    <w:rsid w:val="7BD147E6"/>
    <w:rsid w:val="7BE129E3"/>
    <w:rsid w:val="7C793CD1"/>
    <w:rsid w:val="7CA0383C"/>
    <w:rsid w:val="7CB24380"/>
    <w:rsid w:val="7D1D3EEF"/>
    <w:rsid w:val="7D29165E"/>
    <w:rsid w:val="7D8260DB"/>
    <w:rsid w:val="7EDF0482"/>
    <w:rsid w:val="7FAE6057"/>
    <w:rsid w:val="7FC317DF"/>
    <w:rsid w:val="9FC7519C"/>
    <w:rsid w:val="AEFE89C8"/>
    <w:rsid w:val="FFB5F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index 6"/>
    <w:basedOn w:val="1"/>
    <w:next w:val="1"/>
    <w:qFormat/>
    <w:uiPriority w:val="0"/>
    <w:pPr>
      <w:ind w:left="1000" w:leftChars="1000"/>
    </w:pPr>
    <w:rPr>
      <w:rFonts w:ascii="Calibri" w:hAnsi="Calibri" w:eastAsia="宋体" w:cs="Times New Roman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2929</Words>
  <Characters>2988</Characters>
  <Lines>0</Lines>
  <Paragraphs>0</Paragraphs>
  <TotalTime>19</TotalTime>
  <ScaleCrop>false</ScaleCrop>
  <LinksUpToDate>false</LinksUpToDate>
  <CharactersWithSpaces>3107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2021-05-10T17:09:00Z</dcterms:created>
  <dc:creator>user16</dc:creator>
  <cp:lastModifiedBy>三明市交通运输局</cp:lastModifiedBy>
  <cp:lastPrinted>2025-06-10T17:32:00Z</cp:lastPrinted>
  <dcterms:modified xsi:type="dcterms:W3CDTF">2025-06-17T15:45:21Z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A2ACA50AFF3AAC82111D5168B2DC0466</vt:lpwstr>
  </property>
  <property fmtid="{D5CDD505-2E9C-101B-9397-08002B2CF9AE}" pid="4" name="KSOTemplateDocerSaveRecord">
    <vt:lpwstr>eyJoZGlkIjoiYzdjNzU3MTRhMzBkYmU0N2NjYjM2ZWM4ZTM5OTgxOTciLCJ1c2VySWQiOiI2MTk0MDc5OTMifQ==</vt:lpwstr>
  </property>
</Properties>
</file>